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6AEA4" w14:textId="082BCC21" w:rsidR="002C0256" w:rsidRPr="009C7E40" w:rsidRDefault="002C0256" w:rsidP="00862051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583FB7">
        <w:rPr>
          <w:rFonts w:ascii="Tahoma" w:hAnsi="Tahoma" w:cs="Tahoma"/>
          <w:sz w:val="22"/>
          <w:szCs w:val="22"/>
        </w:rPr>
        <w:t>To provide an overview of potential eye hazards and safe practices for using eye protection</w:t>
      </w:r>
    </w:p>
    <w:p w14:paraId="52D69089" w14:textId="77777777" w:rsidR="002C0256" w:rsidRDefault="002C0256" w:rsidP="00862051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0C73B223" w14:textId="77777777" w:rsidR="002C0256" w:rsidRPr="00C36B44" w:rsidRDefault="002C0256" w:rsidP="00862051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2D0890" wp14:editId="2EAE5BEC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14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4D859E70" w14:textId="77777777" w:rsidR="00E964DD" w:rsidRDefault="00E964DD" w:rsidP="0086205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1A1C1198" w14:textId="77777777" w:rsidR="00E964DD" w:rsidRDefault="00E964DD" w:rsidP="00862051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41DBC511" w14:textId="1E8A4963" w:rsidR="004822A7" w:rsidRPr="00755B01" w:rsidRDefault="002347B9" w:rsidP="0086205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824" behindDoc="0" locked="0" layoutInCell="1" allowOverlap="1" wp14:anchorId="46FC8220" wp14:editId="7EB8F1D5">
            <wp:simplePos x="0" y="0"/>
            <wp:positionH relativeFrom="margin">
              <wp:posOffset>3019425</wp:posOffset>
            </wp:positionH>
            <wp:positionV relativeFrom="margin">
              <wp:posOffset>1297940</wp:posOffset>
            </wp:positionV>
            <wp:extent cx="2934335" cy="1729740"/>
            <wp:effectExtent l="0" t="0" r="0" b="3810"/>
            <wp:wrapSquare wrapText="bothSides"/>
            <wp:docPr id="2" name="Picture 2" descr="Safety Gog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ty Gogg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73"/>
                    <a:stretch/>
                  </pic:blipFill>
                  <pic:spPr bwMode="auto">
                    <a:xfrm>
                      <a:off x="0" y="0"/>
                      <a:ext cx="293433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9C2">
        <w:rPr>
          <w:rFonts w:ascii="Tahoma" w:hAnsi="Tahoma" w:cs="Tahoma"/>
          <w:b/>
          <w:color w:val="315CA3"/>
          <w:sz w:val="28"/>
          <w:szCs w:val="28"/>
        </w:rPr>
        <w:t>The Importance of Eye Protection</w:t>
      </w:r>
    </w:p>
    <w:p w14:paraId="1342B03C" w14:textId="77777777" w:rsidR="003A7D4A" w:rsidRDefault="001A78BA" w:rsidP="00862051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color w:val="000000"/>
          <w:sz w:val="22"/>
          <w:szCs w:val="22"/>
        </w:rPr>
        <w:t>The majority of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2019E6">
        <w:rPr>
          <w:rFonts w:ascii="Tahoma" w:hAnsi="Tahoma" w:cs="Tahoma"/>
          <w:color w:val="000000"/>
          <w:sz w:val="22"/>
          <w:szCs w:val="22"/>
        </w:rPr>
        <w:t>work-related eye injuries</w:t>
      </w:r>
      <w:r>
        <w:rPr>
          <w:rFonts w:ascii="Tahoma" w:hAnsi="Tahoma" w:cs="Tahoma"/>
          <w:color w:val="000000"/>
          <w:sz w:val="22"/>
          <w:szCs w:val="22"/>
        </w:rPr>
        <w:t xml:space="preserve"> are a result of flying or falling objects or sparks striking the eye. </w:t>
      </w:r>
    </w:p>
    <w:p w14:paraId="2723F6A4" w14:textId="18226B06" w:rsidR="001A78BA" w:rsidRPr="003A7D4A" w:rsidRDefault="001A78BA" w:rsidP="00862051">
      <w:pPr>
        <w:pStyle w:val="NormalWeb"/>
        <w:spacing w:before="0" w:beforeAutospacing="0" w:after="220" w:afterAutospacing="0"/>
        <w:rPr>
          <w:rFonts w:ascii="Tahoma" w:hAnsi="Tahoma" w:cs="Tahoma"/>
          <w:b/>
          <w:color w:val="000000"/>
          <w:sz w:val="22"/>
          <w:szCs w:val="22"/>
        </w:rPr>
      </w:pPr>
      <w:r w:rsidRPr="003A7D4A">
        <w:rPr>
          <w:rFonts w:ascii="Tahoma" w:hAnsi="Tahoma" w:cs="Tahoma"/>
          <w:b/>
          <w:color w:val="000000"/>
          <w:sz w:val="22"/>
          <w:szCs w:val="22"/>
        </w:rPr>
        <w:t>Other common potential hazards include</w:t>
      </w:r>
      <w:r w:rsidR="008259C2">
        <w:rPr>
          <w:rFonts w:ascii="Tahoma" w:hAnsi="Tahoma" w:cs="Tahoma"/>
          <w:b/>
          <w:color w:val="000000"/>
          <w:sz w:val="22"/>
          <w:szCs w:val="22"/>
        </w:rPr>
        <w:t xml:space="preserve"> the following</w:t>
      </w:r>
      <w:r w:rsidRPr="003A7D4A">
        <w:rPr>
          <w:rFonts w:ascii="Tahoma" w:hAnsi="Tahoma" w:cs="Tahoma"/>
          <w:b/>
          <w:color w:val="000000"/>
          <w:sz w:val="22"/>
          <w:szCs w:val="22"/>
        </w:rPr>
        <w:t>:</w:t>
      </w:r>
    </w:p>
    <w:p w14:paraId="29B9C6C6" w14:textId="77777777" w:rsidR="001A78BA" w:rsidRDefault="001A78BA" w:rsidP="00862051">
      <w:pPr>
        <w:pStyle w:val="NormalWeb"/>
        <w:numPr>
          <w:ilvl w:val="0"/>
          <w:numId w:val="38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Fumes</w:t>
      </w:r>
    </w:p>
    <w:p w14:paraId="570B618F" w14:textId="77777777" w:rsidR="001A78BA" w:rsidRDefault="001A78BA" w:rsidP="00862051">
      <w:pPr>
        <w:pStyle w:val="NormalWeb"/>
        <w:numPr>
          <w:ilvl w:val="0"/>
          <w:numId w:val="38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Vapors</w:t>
      </w:r>
    </w:p>
    <w:p w14:paraId="6AAA9DAA" w14:textId="77777777" w:rsidR="001A78BA" w:rsidRDefault="001A78BA" w:rsidP="00862051">
      <w:pPr>
        <w:pStyle w:val="NormalWeb"/>
        <w:numPr>
          <w:ilvl w:val="0"/>
          <w:numId w:val="38"/>
        </w:numPr>
        <w:spacing w:before="0" w:beforeAutospacing="0" w:after="220" w:afterAutospacing="0"/>
        <w:ind w:left="450" w:hanging="45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Chemical splashes</w:t>
      </w:r>
    </w:p>
    <w:p w14:paraId="2E6F601F" w14:textId="77777777" w:rsidR="00DC7660" w:rsidRPr="002019E6" w:rsidRDefault="001A78BA" w:rsidP="00862051">
      <w:pPr>
        <w:pStyle w:val="NormalWeb"/>
        <w:numPr>
          <w:ilvl w:val="0"/>
          <w:numId w:val="38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2019E6">
        <w:rPr>
          <w:rFonts w:ascii="Tahoma" w:hAnsi="Tahoma" w:cs="Tahoma"/>
          <w:color w:val="000000"/>
          <w:sz w:val="22"/>
          <w:szCs w:val="22"/>
        </w:rPr>
        <w:t xml:space="preserve">Extremely bright or hazardous light, such as </w:t>
      </w:r>
      <w:r w:rsidR="002019E6" w:rsidRPr="002019E6">
        <w:rPr>
          <w:rFonts w:ascii="Tahoma" w:hAnsi="Tahoma" w:cs="Tahoma"/>
          <w:color w:val="000000"/>
          <w:sz w:val="22"/>
          <w:szCs w:val="22"/>
        </w:rPr>
        <w:t>from welding</w:t>
      </w:r>
    </w:p>
    <w:p w14:paraId="01C7452E" w14:textId="47403CE6" w:rsidR="00CC05F1" w:rsidRPr="00755B01" w:rsidRDefault="00744B2B" w:rsidP="0086205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 xml:space="preserve">Common </w:t>
      </w:r>
      <w:r w:rsidR="00862051">
        <w:rPr>
          <w:rFonts w:ascii="Tahoma" w:hAnsi="Tahoma" w:cs="Tahoma"/>
          <w:b/>
          <w:color w:val="315CA3"/>
          <w:sz w:val="28"/>
          <w:szCs w:val="28"/>
        </w:rPr>
        <w:t>T</w:t>
      </w:r>
      <w:r>
        <w:rPr>
          <w:rFonts w:ascii="Tahoma" w:hAnsi="Tahoma" w:cs="Tahoma"/>
          <w:b/>
          <w:color w:val="315CA3"/>
          <w:sz w:val="28"/>
          <w:szCs w:val="28"/>
        </w:rPr>
        <w:t xml:space="preserve">ypes of </w:t>
      </w:r>
      <w:r w:rsidR="00862051">
        <w:rPr>
          <w:rFonts w:ascii="Tahoma" w:hAnsi="Tahoma" w:cs="Tahoma"/>
          <w:b/>
          <w:color w:val="315CA3"/>
          <w:sz w:val="28"/>
          <w:szCs w:val="28"/>
        </w:rPr>
        <w:t>E</w:t>
      </w:r>
      <w:r>
        <w:rPr>
          <w:rFonts w:ascii="Tahoma" w:hAnsi="Tahoma" w:cs="Tahoma"/>
          <w:b/>
          <w:color w:val="315CA3"/>
          <w:sz w:val="28"/>
          <w:szCs w:val="28"/>
        </w:rPr>
        <w:t xml:space="preserve">ye </w:t>
      </w:r>
      <w:r w:rsidR="00862051">
        <w:rPr>
          <w:rFonts w:ascii="Tahoma" w:hAnsi="Tahoma" w:cs="Tahoma"/>
          <w:b/>
          <w:color w:val="315CA3"/>
          <w:sz w:val="28"/>
          <w:szCs w:val="28"/>
        </w:rPr>
        <w:t>P</w:t>
      </w:r>
      <w:r>
        <w:rPr>
          <w:rFonts w:ascii="Tahoma" w:hAnsi="Tahoma" w:cs="Tahoma"/>
          <w:b/>
          <w:color w:val="315CA3"/>
          <w:sz w:val="28"/>
          <w:szCs w:val="28"/>
        </w:rPr>
        <w:t>rotection</w:t>
      </w:r>
    </w:p>
    <w:p w14:paraId="2102BB04" w14:textId="19810C92" w:rsidR="00D569C8" w:rsidRPr="00405A25" w:rsidRDefault="00D569C8" w:rsidP="00862051">
      <w:pPr>
        <w:pStyle w:val="ColorfulList-Accent11"/>
        <w:spacing w:after="220" w:line="240" w:lineRule="auto"/>
        <w:ind w:left="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 job hazard assessment performed prior to the start of a </w:t>
      </w:r>
      <w:proofErr w:type="gramStart"/>
      <w:r>
        <w:rPr>
          <w:rFonts w:ascii="Tahoma" w:hAnsi="Tahoma" w:cs="Tahoma"/>
        </w:rPr>
        <w:t>particular task</w:t>
      </w:r>
      <w:proofErr w:type="gramEnd"/>
      <w:r>
        <w:rPr>
          <w:rFonts w:ascii="Tahoma" w:hAnsi="Tahoma" w:cs="Tahoma"/>
        </w:rPr>
        <w:t xml:space="preserve"> will determine the </w:t>
      </w:r>
      <w:r w:rsidR="008259C2">
        <w:rPr>
          <w:rFonts w:ascii="Tahoma" w:hAnsi="Tahoma" w:cs="Tahoma"/>
        </w:rPr>
        <w:t xml:space="preserve">type of eye protection required. </w:t>
      </w:r>
    </w:p>
    <w:p w14:paraId="3270DCA0" w14:textId="5E9AB78B" w:rsidR="006A3160" w:rsidRPr="008259C2" w:rsidRDefault="004777AD" w:rsidP="008259C2">
      <w:pPr>
        <w:pStyle w:val="ColorfulList-Accent11"/>
        <w:numPr>
          <w:ilvl w:val="0"/>
          <w:numId w:val="46"/>
        </w:numPr>
        <w:spacing w:after="220" w:line="240" w:lineRule="auto"/>
        <w:ind w:left="446" w:hanging="446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Safety glasses</w:t>
      </w:r>
      <w:r>
        <w:rPr>
          <w:rFonts w:ascii="Tahoma" w:hAnsi="Tahoma" w:cs="Tahoma"/>
        </w:rPr>
        <w:t xml:space="preserve"> are a common fo</w:t>
      </w:r>
      <w:r w:rsidR="00D569C8">
        <w:rPr>
          <w:rFonts w:ascii="Tahoma" w:hAnsi="Tahoma" w:cs="Tahoma"/>
        </w:rPr>
        <w:t>rm of protection against low-to</w:t>
      </w:r>
      <w:r w:rsidR="003569CD">
        <w:rPr>
          <w:rFonts w:ascii="Tahoma" w:hAnsi="Tahoma" w:cs="Tahoma"/>
        </w:rPr>
        <w:t>-moderate impacts and sparks from activities such as grinding and woodworking.</w:t>
      </w:r>
      <w:r w:rsidR="008259C2">
        <w:rPr>
          <w:rFonts w:ascii="Tahoma" w:hAnsi="Tahoma" w:cs="Tahoma"/>
          <w:b/>
        </w:rPr>
        <w:t xml:space="preserve"> </w:t>
      </w:r>
      <w:r w:rsidR="006A3160" w:rsidRPr="008259C2">
        <w:rPr>
          <w:rFonts w:ascii="Tahoma" w:hAnsi="Tahoma" w:cs="Tahoma"/>
        </w:rPr>
        <w:t>Only use safety glasses with side shields.</w:t>
      </w:r>
    </w:p>
    <w:p w14:paraId="486AD695" w14:textId="0535E9CB" w:rsidR="006A3160" w:rsidRPr="008259C2" w:rsidRDefault="004777AD" w:rsidP="008259C2">
      <w:pPr>
        <w:pStyle w:val="ColorfulList-Accent11"/>
        <w:numPr>
          <w:ilvl w:val="0"/>
          <w:numId w:val="46"/>
        </w:numPr>
        <w:spacing w:after="220" w:line="240" w:lineRule="auto"/>
        <w:ind w:left="446" w:hanging="446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Goggles</w:t>
      </w:r>
      <w:r>
        <w:rPr>
          <w:rFonts w:ascii="Tahoma" w:hAnsi="Tahoma" w:cs="Tahoma"/>
        </w:rPr>
        <w:t xml:space="preserve"> form a protective seal </w:t>
      </w:r>
      <w:r w:rsidRPr="00AA2264">
        <w:rPr>
          <w:rFonts w:ascii="Tahoma" w:hAnsi="Tahoma" w:cs="Tahoma"/>
        </w:rPr>
        <w:t xml:space="preserve">around the eye area to better protect from hazardous chemical vapors, splashes, or dust </w:t>
      </w:r>
      <w:r w:rsidR="008259C2" w:rsidRPr="00AA2264">
        <w:rPr>
          <w:rFonts w:ascii="Tahoma" w:hAnsi="Tahoma" w:cs="Tahoma"/>
        </w:rPr>
        <w:t>or other</w:t>
      </w:r>
      <w:r w:rsidRPr="00AA2264">
        <w:rPr>
          <w:rFonts w:ascii="Tahoma" w:hAnsi="Tahoma" w:cs="Tahoma"/>
        </w:rPr>
        <w:t xml:space="preserve"> small particles that may enter the eye.</w:t>
      </w:r>
      <w:r w:rsidR="008259C2" w:rsidRPr="00AA2264">
        <w:rPr>
          <w:rFonts w:ascii="Tahoma" w:hAnsi="Tahoma" w:cs="Tahoma"/>
        </w:rPr>
        <w:t xml:space="preserve"> </w:t>
      </w:r>
      <w:r w:rsidR="006A3160" w:rsidRPr="00AA2264">
        <w:rPr>
          <w:rFonts w:ascii="Tahoma" w:hAnsi="Tahoma" w:cs="Tahoma"/>
        </w:rPr>
        <w:t xml:space="preserve">Make sure that your goggles include ventilation </w:t>
      </w:r>
      <w:r w:rsidR="006A3160" w:rsidRPr="008259C2">
        <w:rPr>
          <w:rFonts w:ascii="Tahoma" w:hAnsi="Tahoma" w:cs="Tahoma"/>
        </w:rPr>
        <w:t>mechanisms to prevent fogging.</w:t>
      </w:r>
    </w:p>
    <w:p w14:paraId="38EBF91B" w14:textId="355BE23B" w:rsidR="004777AD" w:rsidRPr="00807FC1" w:rsidRDefault="004777AD" w:rsidP="008259C2">
      <w:pPr>
        <w:pStyle w:val="ColorfulList-Accent11"/>
        <w:numPr>
          <w:ilvl w:val="0"/>
          <w:numId w:val="46"/>
        </w:numPr>
        <w:spacing w:after="220" w:line="240" w:lineRule="auto"/>
        <w:ind w:left="450" w:hanging="450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Face shields </w:t>
      </w:r>
      <w:r w:rsidR="00807FC1">
        <w:rPr>
          <w:rFonts w:ascii="Tahoma" w:hAnsi="Tahoma" w:cs="Tahoma"/>
        </w:rPr>
        <w:t>provide protection for the entire face</w:t>
      </w:r>
      <w:r w:rsidR="00D569C8">
        <w:rPr>
          <w:rFonts w:ascii="Tahoma" w:hAnsi="Tahoma" w:cs="Tahoma"/>
        </w:rPr>
        <w:t xml:space="preserve"> against flying particles, sparks, splashes, harmful mists, and other hazards. </w:t>
      </w:r>
    </w:p>
    <w:p w14:paraId="520B60CA" w14:textId="4BA65E87" w:rsidR="00B028E0" w:rsidRPr="00B028E0" w:rsidRDefault="00807FC1" w:rsidP="00862051">
      <w:pPr>
        <w:pStyle w:val="ColorfulList-Accent11"/>
        <w:numPr>
          <w:ilvl w:val="0"/>
          <w:numId w:val="46"/>
        </w:numPr>
        <w:spacing w:after="600" w:line="240" w:lineRule="auto"/>
        <w:ind w:left="446" w:hanging="446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Welding masks</w:t>
      </w:r>
      <w:r w:rsidR="00405A25">
        <w:rPr>
          <w:rFonts w:ascii="Tahoma" w:hAnsi="Tahoma" w:cs="Tahoma"/>
        </w:rPr>
        <w:t xml:space="preserve"> are specially designed to protect from radiant energy, sparks, and metal splatters </w:t>
      </w:r>
      <w:r w:rsidR="00744B2B">
        <w:rPr>
          <w:rFonts w:ascii="Tahoma" w:hAnsi="Tahoma" w:cs="Tahoma"/>
        </w:rPr>
        <w:t>from</w:t>
      </w:r>
      <w:r w:rsidR="00405A25">
        <w:rPr>
          <w:rFonts w:ascii="Tahoma" w:hAnsi="Tahoma" w:cs="Tahoma"/>
        </w:rPr>
        <w:t xml:space="preserve"> welding.</w:t>
      </w:r>
    </w:p>
    <w:p w14:paraId="36BB46F2" w14:textId="77777777" w:rsidR="008259C2" w:rsidRDefault="008259C2" w:rsidP="00862051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 xml:space="preserve">Proper </w:t>
      </w:r>
      <w:r w:rsidR="00A131DF">
        <w:rPr>
          <w:rFonts w:ascii="Tahoma" w:hAnsi="Tahoma" w:cs="Tahoma"/>
          <w:b/>
          <w:color w:val="315CA3"/>
          <w:sz w:val="28"/>
          <w:szCs w:val="28"/>
        </w:rPr>
        <w:t xml:space="preserve">Use </w:t>
      </w:r>
    </w:p>
    <w:p w14:paraId="3AE4DA41" w14:textId="77777777" w:rsidR="008259C2" w:rsidRPr="00AA2264" w:rsidRDefault="008259C2" w:rsidP="008259C2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Always wear proper eye protection where required, even if danger to your eyes seems remote.</w:t>
      </w:r>
    </w:p>
    <w:p w14:paraId="4AAE4960" w14:textId="0171CFFA" w:rsidR="00862051" w:rsidRPr="00AA2264" w:rsidRDefault="00862051" w:rsidP="00862051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</w:rPr>
      </w:pPr>
      <w:r w:rsidRPr="00AA2264">
        <w:rPr>
          <w:rFonts w:ascii="Tahoma" w:hAnsi="Tahoma" w:cs="Tahoma"/>
        </w:rPr>
        <w:t xml:space="preserve">Before use, verify that your equipment is </w:t>
      </w:r>
      <w:r w:rsidR="008259C2" w:rsidRPr="00AA2264">
        <w:rPr>
          <w:rFonts w:ascii="Tahoma" w:hAnsi="Tahoma" w:cs="Tahoma"/>
        </w:rPr>
        <w:t>appropriate</w:t>
      </w:r>
      <w:r w:rsidRPr="00AA2264">
        <w:rPr>
          <w:rFonts w:ascii="Tahoma" w:hAnsi="Tahoma" w:cs="Tahoma"/>
        </w:rPr>
        <w:t xml:space="preserve"> for </w:t>
      </w:r>
      <w:r w:rsidR="008259C2" w:rsidRPr="00AA2264">
        <w:rPr>
          <w:rFonts w:ascii="Tahoma" w:hAnsi="Tahoma" w:cs="Tahoma"/>
        </w:rPr>
        <w:t>the</w:t>
      </w:r>
      <w:r w:rsidRPr="00AA2264">
        <w:rPr>
          <w:rFonts w:ascii="Tahoma" w:hAnsi="Tahoma" w:cs="Tahoma"/>
        </w:rPr>
        <w:t xml:space="preserve"> task.</w:t>
      </w:r>
    </w:p>
    <w:p w14:paraId="5921B871" w14:textId="61E841A1" w:rsidR="00A131DF" w:rsidRPr="00AA2264" w:rsidRDefault="00A131DF" w:rsidP="00862051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</w:rPr>
      </w:pPr>
      <w:r w:rsidRPr="00AA2264">
        <w:rPr>
          <w:rFonts w:ascii="Tahoma" w:hAnsi="Tahoma" w:cs="Tahoma"/>
        </w:rPr>
        <w:t>Inspect eye protection prior to each use.</w:t>
      </w:r>
    </w:p>
    <w:p w14:paraId="46A817F4" w14:textId="39A7B493" w:rsidR="002019E6" w:rsidRPr="00AA2264" w:rsidRDefault="008259C2" w:rsidP="00862051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</w:rPr>
      </w:pPr>
      <w:r w:rsidRPr="00AA2264">
        <w:rPr>
          <w:rFonts w:ascii="Tahoma" w:hAnsi="Tahoma" w:cs="Tahoma"/>
        </w:rPr>
        <w:t xml:space="preserve">If you wear prescription eyewear, use </w:t>
      </w:r>
      <w:r w:rsidR="00A131DF" w:rsidRPr="00AA2264">
        <w:rPr>
          <w:rFonts w:ascii="Tahoma" w:hAnsi="Tahoma" w:cs="Tahoma"/>
        </w:rPr>
        <w:t>eye protection</w:t>
      </w:r>
      <w:r w:rsidRPr="00AA2264">
        <w:rPr>
          <w:rFonts w:ascii="Tahoma" w:hAnsi="Tahoma" w:cs="Tahoma"/>
        </w:rPr>
        <w:t xml:space="preserve"> that</w:t>
      </w:r>
      <w:r w:rsidR="002019E6" w:rsidRPr="00AA2264">
        <w:rPr>
          <w:rFonts w:ascii="Tahoma" w:hAnsi="Tahoma" w:cs="Tahoma"/>
        </w:rPr>
        <w:t xml:space="preserve"> accommodate</w:t>
      </w:r>
      <w:r w:rsidRPr="00AA2264">
        <w:rPr>
          <w:rFonts w:ascii="Tahoma" w:hAnsi="Tahoma" w:cs="Tahoma"/>
        </w:rPr>
        <w:t>s it</w:t>
      </w:r>
      <w:r w:rsidR="002019E6" w:rsidRPr="00AA2264">
        <w:rPr>
          <w:rFonts w:ascii="Tahoma" w:hAnsi="Tahoma" w:cs="Tahoma"/>
        </w:rPr>
        <w:t>. Prescription eyewear</w:t>
      </w:r>
      <w:r w:rsidRPr="00AA2264">
        <w:rPr>
          <w:rFonts w:ascii="Tahoma" w:hAnsi="Tahoma" w:cs="Tahoma"/>
        </w:rPr>
        <w:t xml:space="preserve"> by itself</w:t>
      </w:r>
      <w:r w:rsidR="002019E6" w:rsidRPr="00AA2264">
        <w:rPr>
          <w:rFonts w:ascii="Tahoma" w:hAnsi="Tahoma" w:cs="Tahoma"/>
        </w:rPr>
        <w:t xml:space="preserve"> is </w:t>
      </w:r>
      <w:r w:rsidR="002019E6" w:rsidRPr="00AA2264">
        <w:rPr>
          <w:rFonts w:ascii="Tahoma" w:hAnsi="Tahoma" w:cs="Tahoma"/>
          <w:b/>
        </w:rPr>
        <w:t>not a substitute for safety glasses or goggles</w:t>
      </w:r>
      <w:r w:rsidR="002019E6" w:rsidRPr="00AA2264">
        <w:rPr>
          <w:rFonts w:ascii="Tahoma" w:hAnsi="Tahoma" w:cs="Tahoma"/>
        </w:rPr>
        <w:t>.</w:t>
      </w:r>
    </w:p>
    <w:p w14:paraId="2CCA983F" w14:textId="5E09936F" w:rsidR="00A131DF" w:rsidRPr="0021369F" w:rsidRDefault="0021369F" w:rsidP="00862051">
      <w:pPr>
        <w:pStyle w:val="ColorfulList-Accent11"/>
        <w:numPr>
          <w:ilvl w:val="0"/>
          <w:numId w:val="28"/>
        </w:numPr>
        <w:spacing w:after="260" w:line="240" w:lineRule="auto"/>
        <w:ind w:left="446" w:hanging="446"/>
        <w:contextualSpacing w:val="0"/>
        <w:rPr>
          <w:rFonts w:ascii="Tahoma" w:hAnsi="Tahoma" w:cs="Tahoma"/>
        </w:rPr>
      </w:pPr>
      <w:r w:rsidRPr="00AA2264">
        <w:rPr>
          <w:rFonts w:ascii="Tahoma" w:hAnsi="Tahoma" w:cs="Tahoma"/>
        </w:rPr>
        <w:t>W</w:t>
      </w:r>
      <w:r w:rsidR="001F47D1" w:rsidRPr="00AA2264">
        <w:rPr>
          <w:rFonts w:ascii="Tahoma" w:hAnsi="Tahoma" w:cs="Tahoma"/>
        </w:rPr>
        <w:t xml:space="preserve">hen </w:t>
      </w:r>
      <w:r w:rsidRPr="00AA2264">
        <w:rPr>
          <w:rFonts w:ascii="Tahoma" w:hAnsi="Tahoma" w:cs="Tahoma"/>
        </w:rPr>
        <w:t>welding or cutting, a</w:t>
      </w:r>
      <w:r w:rsidR="00A131DF" w:rsidRPr="00AA2264">
        <w:rPr>
          <w:rFonts w:ascii="Tahoma" w:hAnsi="Tahoma" w:cs="Tahoma"/>
        </w:rPr>
        <w:t xml:space="preserve">lways wear safety </w:t>
      </w:r>
      <w:r w:rsidR="00A131DF" w:rsidRPr="0021369F">
        <w:rPr>
          <w:rFonts w:ascii="Tahoma" w:hAnsi="Tahoma" w:cs="Tahoma"/>
        </w:rPr>
        <w:t>glasses or goggles underneath face shields or welding helmets.</w:t>
      </w:r>
    </w:p>
    <w:p w14:paraId="28565C1D" w14:textId="4DCE7B1D" w:rsidR="0045764A" w:rsidRPr="00A131DF" w:rsidRDefault="00A131DF" w:rsidP="00862051">
      <w:pPr>
        <w:pStyle w:val="ColorfulList-Accent11"/>
        <w:numPr>
          <w:ilvl w:val="0"/>
          <w:numId w:val="48"/>
        </w:numPr>
        <w:spacing w:after="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>When your work is complete, store eye protection properly and away from extreme temperatures or direct sunlight.</w:t>
      </w:r>
    </w:p>
    <w:p w14:paraId="14189EAD" w14:textId="15ABEE8A" w:rsidR="0045764A" w:rsidRDefault="008259C2" w:rsidP="008259C2">
      <w:pPr>
        <w:tabs>
          <w:tab w:val="left" w:pos="1320"/>
          <w:tab w:val="left" w:pos="421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0F8C1A08" w14:textId="77777777" w:rsidR="0045764A" w:rsidRDefault="0045764A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918850D" w14:textId="77777777" w:rsidR="00330CA2" w:rsidRDefault="00330CA2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CB51D43" w14:textId="77777777" w:rsidR="00330CA2" w:rsidRDefault="00330CA2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CCF6DD1" w14:textId="77777777" w:rsidR="0045764A" w:rsidRDefault="0045764A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CB4944A" w14:textId="77777777" w:rsidR="0045764A" w:rsidRDefault="0045764A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6A9988D" w14:textId="77777777" w:rsidR="0045764A" w:rsidRDefault="0045764A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34E1F82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71B803D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5137EF9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7FAF5FD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1BBDB74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EDEC43D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31B1C80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22100CA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7281842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8376269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FC72617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60D394A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45BAC52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BEE707F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55EA682" w14:textId="77777777" w:rsidR="00560968" w:rsidRDefault="00560968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FEAEBE9" w14:textId="77777777" w:rsidR="008259C2" w:rsidRDefault="008259C2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2694A4B" w14:textId="77777777" w:rsidR="008259C2" w:rsidRDefault="008259C2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C541ACD" w14:textId="77777777" w:rsidR="008259C2" w:rsidRDefault="008259C2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195188B" w14:textId="77777777" w:rsidR="008259C2" w:rsidRDefault="008259C2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9E1C24C" w14:textId="77777777" w:rsidR="00DF6871" w:rsidRPr="00066622" w:rsidRDefault="00DF6871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34E796C8" w14:textId="77777777" w:rsidR="00DF6871" w:rsidRPr="00066622" w:rsidRDefault="00DF6871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339040D6" w14:textId="77777777" w:rsidR="00DF6871" w:rsidRPr="00066622" w:rsidRDefault="00DF6871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01424D7" w14:textId="77777777" w:rsidR="00315F40" w:rsidRPr="00466706" w:rsidRDefault="00315F40" w:rsidP="00862051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5FD61070" w14:textId="77777777" w:rsidR="00315F40" w:rsidRPr="00EB21F7" w:rsidRDefault="00315F40" w:rsidP="00862051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32418BB4" w14:textId="77777777" w:rsidR="00DF6871" w:rsidRPr="00066622" w:rsidRDefault="00315F40" w:rsidP="00862051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7994B44" w14:textId="77777777" w:rsidR="00315F40" w:rsidRDefault="00315F40" w:rsidP="00862051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6EE91F21" w14:textId="77777777" w:rsidR="00DF6871" w:rsidRDefault="00DF6871" w:rsidP="00862051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005C345F" w14:textId="77777777" w:rsidR="00080B9E" w:rsidRDefault="00080B9E" w:rsidP="00862051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C51CBE5" w14:textId="77777777" w:rsidR="008272DA" w:rsidRDefault="0045764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907F08E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60A429B6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4E118D1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1A81BA68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DD8EF42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065FC21F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2A6DE94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76B599E5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FDDE6FF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6EF38167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EB8322D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4B698F3C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BA8D50D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07022EEA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9CE7CA7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019114F9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5DE4323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2AC275C7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2D0CFE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38581A81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6FDA37A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6B7551BD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ECDB85F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0526DFF8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F6ADD33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01B4B889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D180C6E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6EA19554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7EA9F48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</w:p>
    <w:p w14:paraId="0EED6DBE" w14:textId="77777777" w:rsidR="008272DA" w:rsidRDefault="008272DA" w:rsidP="00862051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597CAAB" w14:textId="77777777" w:rsidR="007A064D" w:rsidRDefault="007A064D" w:rsidP="00862051">
      <w:pPr>
        <w:jc w:val="both"/>
        <w:rPr>
          <w:rFonts w:ascii="Tahoma" w:hAnsi="Tahoma" w:cs="Tahoma"/>
          <w:sz w:val="22"/>
          <w:szCs w:val="22"/>
        </w:rPr>
      </w:pPr>
    </w:p>
    <w:p w14:paraId="6B46E83F" w14:textId="3F7F850B" w:rsidR="0045764A" w:rsidRPr="0045764A" w:rsidRDefault="0045764A" w:rsidP="00862051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54F93" w14:textId="77777777" w:rsidR="00F037EE" w:rsidRDefault="00F037EE">
      <w:r>
        <w:separator/>
      </w:r>
    </w:p>
  </w:endnote>
  <w:endnote w:type="continuationSeparator" w:id="0">
    <w:p w14:paraId="769E9F16" w14:textId="77777777" w:rsidR="00F037EE" w:rsidRDefault="00F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1DCC2A05" w14:textId="463E773F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1322D4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57D5" w14:textId="77777777" w:rsidR="00F037EE" w:rsidRDefault="00F037EE">
      <w:r>
        <w:separator/>
      </w:r>
    </w:p>
  </w:footnote>
  <w:footnote w:type="continuationSeparator" w:id="0">
    <w:p w14:paraId="43D77EBD" w14:textId="77777777" w:rsidR="00F037EE" w:rsidRDefault="00F0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471A" w14:textId="77777777" w:rsidR="00FF6E4F" w:rsidRDefault="00F037EE">
    <w:pPr>
      <w:pStyle w:val="Header"/>
    </w:pPr>
    <w:r>
      <w:rPr>
        <w:noProof/>
      </w:rPr>
      <w:pict w14:anchorId="59400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5097E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29BA0FAD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61F81EB6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55D7130A" w14:textId="77777777" w:rsidTr="00064AF6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6BF152C" w14:textId="77777777" w:rsidR="00B968EA" w:rsidRPr="001B1D0E" w:rsidRDefault="000E024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Personal Protective Equipment (PPE)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B9BDF6C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0F3172D5" w14:textId="77777777" w:rsidTr="00064AF6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7025A8C" w14:textId="77777777" w:rsidR="00B968EA" w:rsidRPr="000D0B76" w:rsidRDefault="001A78BA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Eye Protection</w:t>
          </w:r>
          <w:r w:rsidR="00B968EA" w:rsidRPr="00B968EA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058869F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770F0C99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176344C4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0D12" w14:textId="77777777" w:rsidR="00FF6E4F" w:rsidRDefault="00F037EE">
    <w:pPr>
      <w:pStyle w:val="Header"/>
    </w:pPr>
    <w:r>
      <w:rPr>
        <w:noProof/>
      </w:rPr>
      <w:pict w14:anchorId="074E9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35AD4"/>
    <w:multiLevelType w:val="hybridMultilevel"/>
    <w:tmpl w:val="A29A6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F02CCA"/>
    <w:multiLevelType w:val="hybridMultilevel"/>
    <w:tmpl w:val="AC026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7A49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D5DE0"/>
    <w:multiLevelType w:val="singleLevel"/>
    <w:tmpl w:val="677A498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33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46"/>
  </w:num>
  <w:num w:numId="4">
    <w:abstractNumId w:val="28"/>
  </w:num>
  <w:num w:numId="5">
    <w:abstractNumId w:val="31"/>
  </w:num>
  <w:num w:numId="6">
    <w:abstractNumId w:val="33"/>
  </w:num>
  <w:num w:numId="7">
    <w:abstractNumId w:val="17"/>
  </w:num>
  <w:num w:numId="8">
    <w:abstractNumId w:val="23"/>
  </w:num>
  <w:num w:numId="9">
    <w:abstractNumId w:val="18"/>
  </w:num>
  <w:num w:numId="10">
    <w:abstractNumId w:val="45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3"/>
  </w:num>
  <w:num w:numId="16">
    <w:abstractNumId w:val="16"/>
  </w:num>
  <w:num w:numId="17">
    <w:abstractNumId w:val="40"/>
  </w:num>
  <w:num w:numId="18">
    <w:abstractNumId w:val="34"/>
  </w:num>
  <w:num w:numId="19">
    <w:abstractNumId w:val="26"/>
  </w:num>
  <w:num w:numId="20">
    <w:abstractNumId w:val="12"/>
  </w:num>
  <w:num w:numId="21">
    <w:abstractNumId w:val="15"/>
  </w:num>
  <w:num w:numId="22">
    <w:abstractNumId w:val="7"/>
  </w:num>
  <w:num w:numId="23">
    <w:abstractNumId w:val="25"/>
  </w:num>
  <w:num w:numId="24">
    <w:abstractNumId w:val="41"/>
  </w:num>
  <w:num w:numId="25">
    <w:abstractNumId w:val="14"/>
  </w:num>
  <w:num w:numId="26">
    <w:abstractNumId w:val="10"/>
  </w:num>
  <w:num w:numId="27">
    <w:abstractNumId w:val="37"/>
  </w:num>
  <w:num w:numId="28">
    <w:abstractNumId w:val="11"/>
  </w:num>
  <w:num w:numId="29">
    <w:abstractNumId w:val="39"/>
  </w:num>
  <w:num w:numId="30">
    <w:abstractNumId w:val="19"/>
  </w:num>
  <w:num w:numId="31">
    <w:abstractNumId w:val="42"/>
  </w:num>
  <w:num w:numId="32">
    <w:abstractNumId w:val="38"/>
  </w:num>
  <w:num w:numId="33">
    <w:abstractNumId w:val="9"/>
  </w:num>
  <w:num w:numId="34">
    <w:abstractNumId w:val="13"/>
  </w:num>
  <w:num w:numId="35">
    <w:abstractNumId w:val="4"/>
  </w:num>
  <w:num w:numId="36">
    <w:abstractNumId w:val="44"/>
  </w:num>
  <w:num w:numId="37">
    <w:abstractNumId w:val="0"/>
  </w:num>
  <w:num w:numId="38">
    <w:abstractNumId w:val="24"/>
  </w:num>
  <w:num w:numId="39">
    <w:abstractNumId w:val="36"/>
  </w:num>
  <w:num w:numId="40">
    <w:abstractNumId w:val="8"/>
  </w:num>
  <w:num w:numId="41">
    <w:abstractNumId w:val="2"/>
  </w:num>
  <w:num w:numId="42">
    <w:abstractNumId w:val="47"/>
  </w:num>
  <w:num w:numId="43">
    <w:abstractNumId w:val="22"/>
  </w:num>
  <w:num w:numId="44">
    <w:abstractNumId w:val="20"/>
  </w:num>
  <w:num w:numId="45">
    <w:abstractNumId w:val="30"/>
  </w:num>
  <w:num w:numId="46">
    <w:abstractNumId w:val="29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44"/>
    <w:rsid w:val="00004471"/>
    <w:rsid w:val="00011004"/>
    <w:rsid w:val="00030255"/>
    <w:rsid w:val="00050535"/>
    <w:rsid w:val="00064AF6"/>
    <w:rsid w:val="00066622"/>
    <w:rsid w:val="00080B9E"/>
    <w:rsid w:val="000B2B03"/>
    <w:rsid w:val="000B595F"/>
    <w:rsid w:val="000B7CC5"/>
    <w:rsid w:val="000C63D7"/>
    <w:rsid w:val="000C6488"/>
    <w:rsid w:val="000E0249"/>
    <w:rsid w:val="000E3BD9"/>
    <w:rsid w:val="000F7B87"/>
    <w:rsid w:val="00101E99"/>
    <w:rsid w:val="00125460"/>
    <w:rsid w:val="001322D4"/>
    <w:rsid w:val="00134016"/>
    <w:rsid w:val="00151311"/>
    <w:rsid w:val="0015166E"/>
    <w:rsid w:val="00170124"/>
    <w:rsid w:val="00177A03"/>
    <w:rsid w:val="00190F2B"/>
    <w:rsid w:val="001A78BA"/>
    <w:rsid w:val="001E6998"/>
    <w:rsid w:val="001F47D1"/>
    <w:rsid w:val="002019E6"/>
    <w:rsid w:val="00206FD9"/>
    <w:rsid w:val="002075F3"/>
    <w:rsid w:val="0021369F"/>
    <w:rsid w:val="00226854"/>
    <w:rsid w:val="002347B9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15F40"/>
    <w:rsid w:val="00322552"/>
    <w:rsid w:val="00330324"/>
    <w:rsid w:val="00330CA2"/>
    <w:rsid w:val="00335DE1"/>
    <w:rsid w:val="00350477"/>
    <w:rsid w:val="003569CD"/>
    <w:rsid w:val="003A477C"/>
    <w:rsid w:val="003A7D4A"/>
    <w:rsid w:val="003B49F1"/>
    <w:rsid w:val="003C6631"/>
    <w:rsid w:val="003C727A"/>
    <w:rsid w:val="00405A25"/>
    <w:rsid w:val="004115E5"/>
    <w:rsid w:val="00427296"/>
    <w:rsid w:val="00444465"/>
    <w:rsid w:val="00444BFC"/>
    <w:rsid w:val="00450B9E"/>
    <w:rsid w:val="0045764A"/>
    <w:rsid w:val="00470F16"/>
    <w:rsid w:val="00471858"/>
    <w:rsid w:val="004777AD"/>
    <w:rsid w:val="004822A7"/>
    <w:rsid w:val="00484B70"/>
    <w:rsid w:val="0049004F"/>
    <w:rsid w:val="004A0360"/>
    <w:rsid w:val="004B0F34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83FB7"/>
    <w:rsid w:val="005A00E0"/>
    <w:rsid w:val="005C419C"/>
    <w:rsid w:val="005C64E0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3160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4B2B"/>
    <w:rsid w:val="00745815"/>
    <w:rsid w:val="007471ED"/>
    <w:rsid w:val="00752D5C"/>
    <w:rsid w:val="00755B01"/>
    <w:rsid w:val="00756B2D"/>
    <w:rsid w:val="00783265"/>
    <w:rsid w:val="00786B93"/>
    <w:rsid w:val="007A064D"/>
    <w:rsid w:val="007A2DAB"/>
    <w:rsid w:val="007B329D"/>
    <w:rsid w:val="007B63BE"/>
    <w:rsid w:val="007D6F55"/>
    <w:rsid w:val="007F3E26"/>
    <w:rsid w:val="007F53D1"/>
    <w:rsid w:val="00807FC1"/>
    <w:rsid w:val="00810825"/>
    <w:rsid w:val="00812B83"/>
    <w:rsid w:val="00823703"/>
    <w:rsid w:val="008259C2"/>
    <w:rsid w:val="008272DA"/>
    <w:rsid w:val="00833B6C"/>
    <w:rsid w:val="00841EAC"/>
    <w:rsid w:val="00854C82"/>
    <w:rsid w:val="00862051"/>
    <w:rsid w:val="008818F2"/>
    <w:rsid w:val="008918CA"/>
    <w:rsid w:val="008A372E"/>
    <w:rsid w:val="008B7A72"/>
    <w:rsid w:val="00910830"/>
    <w:rsid w:val="00926290"/>
    <w:rsid w:val="00934757"/>
    <w:rsid w:val="0094297A"/>
    <w:rsid w:val="00954F4E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131DF"/>
    <w:rsid w:val="00A24109"/>
    <w:rsid w:val="00A75770"/>
    <w:rsid w:val="00A84185"/>
    <w:rsid w:val="00A907A9"/>
    <w:rsid w:val="00AA2264"/>
    <w:rsid w:val="00AB6FBC"/>
    <w:rsid w:val="00AC6A6C"/>
    <w:rsid w:val="00AD0DF2"/>
    <w:rsid w:val="00AE3C61"/>
    <w:rsid w:val="00AE3D93"/>
    <w:rsid w:val="00B01A96"/>
    <w:rsid w:val="00B028E0"/>
    <w:rsid w:val="00B06374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444B1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2B4A"/>
    <w:rsid w:val="00D455CB"/>
    <w:rsid w:val="00D569C8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21F50"/>
    <w:rsid w:val="00E255AD"/>
    <w:rsid w:val="00E30D9E"/>
    <w:rsid w:val="00E411A5"/>
    <w:rsid w:val="00E65C3C"/>
    <w:rsid w:val="00E667CF"/>
    <w:rsid w:val="00E737B6"/>
    <w:rsid w:val="00E87429"/>
    <w:rsid w:val="00E964DD"/>
    <w:rsid w:val="00EA043C"/>
    <w:rsid w:val="00EA3DA1"/>
    <w:rsid w:val="00EC7030"/>
    <w:rsid w:val="00ED2FE2"/>
    <w:rsid w:val="00EE0067"/>
    <w:rsid w:val="00EE0DCC"/>
    <w:rsid w:val="00F03185"/>
    <w:rsid w:val="00F037EE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C625A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D9477C1"/>
  <w15:docId w15:val="{16597050-30CE-4547-A805-AC8BC127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EC0B-2AA2-47B8-ADD6-68DA4840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Megan</cp:lastModifiedBy>
  <cp:revision>2</cp:revision>
  <cp:lastPrinted>2014-12-17T00:20:00Z</cp:lastPrinted>
  <dcterms:created xsi:type="dcterms:W3CDTF">2019-03-08T22:30:00Z</dcterms:created>
  <dcterms:modified xsi:type="dcterms:W3CDTF">2019-03-08T22:30:00Z</dcterms:modified>
</cp:coreProperties>
</file>